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color w:val="0000FF"/>
          <w:sz w:val="24"/>
        </w:rPr>
      </w:pPr>
    </w:p>
    <w:p>
      <w:pPr>
        <w:pStyle w:val="0"/>
        <w:jc w:val="left"/>
        <w:rPr>
          <w:rFonts w:hint="default"/>
          <w:sz w:val="28"/>
          <w:u w:val="single" w:color="auto"/>
        </w:rPr>
      </w:pPr>
    </w:p>
    <w:p>
      <w:pPr>
        <w:pStyle w:val="0"/>
        <w:ind w:leftChars="0" w:firstLine="4620" w:firstLineChars="2200"/>
        <w:jc w:val="left"/>
        <w:rPr>
          <w:rFonts w:hint="default"/>
          <w:color w:val="000000"/>
          <w:kern w:val="0"/>
        </w:rPr>
      </w:pPr>
      <w:r>
        <w:rPr>
          <w:rFonts w:hint="default"/>
          <w:u w:val="single" w:color="auto"/>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ind w:firstLine="210" w:firstLineChars="100"/>
              <w:rPr>
                <w:rFonts w:hint="eastAsia"/>
                <w:color w:val="000000" w:themeColor="text1"/>
              </w:rPr>
            </w:pPr>
            <w:r>
              <w:rPr>
                <w:rFonts w:hint="eastAsia"/>
                <w:color w:val="000000" w:themeColor="text1"/>
              </w:rPr>
              <w:t>当該陸閘は，特殊な構造を持つ自動閉鎖陸閘でかつ，大型の扉体（</w:t>
            </w:r>
            <w:r>
              <w:rPr>
                <w:rFonts w:hint="eastAsia" w:ascii="Times New Roman" w:hAnsi="Times New Roman" w:eastAsia="ＭＳ 明朝"/>
                <w:color w:val="000000" w:themeColor="text1"/>
                <w:spacing w:val="0"/>
                <w:w w:val="100"/>
                <w:sz w:val="21"/>
              </w:rPr>
              <w:t>W=</w:t>
            </w:r>
            <w:r>
              <w:rPr>
                <w:rFonts w:hint="default" w:ascii="Times New Roman" w:hAnsi="Times New Roman" w:eastAsia="ＭＳ 明朝"/>
                <w:color w:val="000000" w:themeColor="text1"/>
                <w:spacing w:val="0"/>
                <w:w w:val="100"/>
                <w:sz w:val="21"/>
              </w:rPr>
              <w:t>8.0</w:t>
            </w:r>
            <w:r>
              <w:rPr>
                <w:rFonts w:hint="eastAsia" w:ascii="Times New Roman" w:hAnsi="Times New Roman" w:eastAsia="ＭＳ 明朝"/>
                <w:color w:val="000000" w:themeColor="text1"/>
                <w:spacing w:val="0"/>
                <w:w w:val="100"/>
                <w:sz w:val="21"/>
              </w:rPr>
              <w:t>m,H=</w:t>
            </w:r>
            <w:r>
              <w:rPr>
                <w:rFonts w:hint="default" w:ascii="Times New Roman" w:hAnsi="Times New Roman" w:eastAsia="ＭＳ 明朝"/>
                <w:color w:val="000000" w:themeColor="text1"/>
                <w:spacing w:val="0"/>
                <w:w w:val="100"/>
                <w:sz w:val="21"/>
              </w:rPr>
              <w:t>3</w:t>
            </w:r>
            <w:r>
              <w:rPr>
                <w:rFonts w:hint="eastAsia" w:ascii="Times New Roman" w:hAnsi="Times New Roman" w:eastAsia="ＭＳ 明朝"/>
                <w:color w:val="000000" w:themeColor="text1"/>
                <w:spacing w:val="0"/>
                <w:w w:val="100"/>
                <w:sz w:val="21"/>
              </w:rPr>
              <w:t>.0m</w:t>
            </w:r>
            <w:r>
              <w:rPr>
                <w:rFonts w:hint="eastAsia"/>
                <w:color w:val="000000" w:themeColor="text1"/>
              </w:rPr>
              <w:t>）であることから，運搬を考慮した扉体の分割が必要となるとともに出来形精度や品質の確保が求められる。</w:t>
            </w:r>
          </w:p>
          <w:p>
            <w:pPr>
              <w:pStyle w:val="0"/>
              <w:ind w:firstLine="210" w:firstLineChars="100"/>
              <w:rPr>
                <w:rFonts w:hint="eastAsia"/>
                <w:color w:val="auto"/>
              </w:rPr>
            </w:pPr>
            <w:r>
              <w:rPr>
                <w:rFonts w:hint="eastAsia"/>
                <w:color w:val="000000" w:themeColor="text1"/>
              </w:rPr>
              <w:t>また，現地搬入後の扉体の組立て・据付け時に支障を及ぼさないよう，運搬（積込み・運搬・荷下ろし）時に，扉体等の変形・破損を防ぐ取り組みが必要となる。</w:t>
            </w:r>
          </w:p>
          <w:p>
            <w:pPr>
              <w:pStyle w:val="0"/>
              <w:ind w:firstLine="210" w:firstLineChars="100"/>
              <w:rPr>
                <w:rFonts w:hint="eastAsia"/>
                <w:color w:val="auto"/>
              </w:rPr>
            </w:pPr>
            <w:r>
              <w:rPr>
                <w:rFonts w:hint="eastAsia"/>
                <w:color w:val="auto"/>
              </w:rPr>
              <w:t>加えて，隣接する水門が施工中であり施工ヤードが競合する都合上，当該陸閘は当面の間，浅川港内に保管し水門が完成後，別途工事により設置する計画である。</w:t>
            </w:r>
          </w:p>
          <w:p>
            <w:pPr>
              <w:pStyle w:val="21"/>
              <w:adjustRightInd w:val="1"/>
              <w:ind w:firstLine="0" w:firstLineChars="100"/>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21"/>
              </w:rPr>
              <w:t>これらのことを踏まえて，次の全ての事項について具体的に記述すること。</w:t>
            </w:r>
          </w:p>
          <w:p>
            <w:pPr>
              <w:pStyle w:val="0"/>
              <w:suppressAutoHyphens w:val="0"/>
              <w:kinsoku w:val="1"/>
              <w:wordWrap w:val="1"/>
              <w:autoSpaceDE w:val="1"/>
              <w:autoSpaceDN w:val="1"/>
              <w:adjustRightInd w:val="1"/>
              <w:spacing w:before="0" w:beforeLines="0" w:beforeAutospacing="0" w:after="0" w:afterLines="0" w:afterAutospacing="0" w:line="240" w:lineRule="exact"/>
              <w:ind w:left="-22" w:firstLine="21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①製作における品質確保について</w:t>
            </w: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0" w:leftChars="0" w:firstLine="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②</w:t>
            </w:r>
            <w:r>
              <w:rPr>
                <w:rFonts w:hint="eastAsia"/>
              </w:rPr>
              <w:t>運搬（積込み・運搬・荷下ろし）における変形・破損防止対策</w:t>
            </w:r>
            <w:r>
              <w:rPr>
                <w:rFonts w:hint="eastAsia" w:ascii="Times New Roman" w:hAnsi="Times New Roman" w:eastAsia="ＭＳ 明朝"/>
                <w:b w:val="0"/>
                <w:color w:val="000000"/>
                <w:spacing w:val="0"/>
                <w:w w:val="100"/>
                <w:sz w:val="21"/>
              </w:rPr>
              <w:t>について</w:t>
            </w: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pacing w:before="0" w:beforeLines="0" w:beforeAutospacing="0" w:after="0" w:afterLines="0" w:afterAutospacing="0" w:line="240" w:lineRule="exact"/>
              <w:jc w:val="both"/>
              <w:rPr>
                <w:rFonts w:hint="default" w:ascii="Times New Roman" w:hAnsi="Times New Roman" w:eastAsia="Times New Roman"/>
                <w:b w:val="0"/>
                <w:color w:val="000000"/>
                <w:spacing w:val="2"/>
              </w:rPr>
            </w:pPr>
          </w:p>
          <w:p>
            <w:pPr>
              <w:pStyle w:val="0"/>
              <w:snapToGrid w:val="0"/>
              <w:spacing w:line="240" w:lineRule="exact"/>
              <w:ind w:firstLine="210" w:firstLineChars="100"/>
              <w:rPr>
                <w:rFonts w:hint="eastAsia"/>
                <w:color w:val="000000" w:themeColor="text1"/>
              </w:rPr>
            </w:pPr>
            <w:r>
              <w:rPr>
                <w:rFonts w:hint="eastAsia" w:ascii="Times New Roman" w:hAnsi="Times New Roman" w:eastAsia="ＭＳ 明朝"/>
                <w:b w:val="0"/>
                <w:color w:val="auto"/>
                <w:spacing w:val="0"/>
                <w:w w:val="100"/>
                <w:sz w:val="21"/>
              </w:rPr>
              <w:t>③</w:t>
            </w:r>
            <w:r>
              <w:rPr>
                <w:rFonts w:hint="eastAsia"/>
                <w:color w:val="auto"/>
              </w:rPr>
              <w:t>製作した陸閘の保管方法について</w:t>
            </w: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leftChars="0" w:firstLine="4620" w:firstLineChars="2200"/>
        <w:jc w:val="left"/>
        <w:rPr>
          <w:rFonts w:hint="default"/>
          <w:color w:val="000000"/>
          <w:kern w:val="0"/>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①製作における品質確保について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②</w:t>
            </w:r>
            <w:r>
              <w:rPr>
                <w:rFonts w:hint="eastAsia"/>
              </w:rPr>
              <w:t>運搬（積込み・運搬・荷下ろし）における変形・破損防止対策</w:t>
            </w:r>
            <w:r>
              <w:rPr>
                <w:rFonts w:hint="eastAsia" w:ascii="Times New Roman" w:hAnsi="Times New Roman" w:eastAsia="ＭＳ 明朝"/>
                <w:b w:val="0"/>
                <w:color w:val="000000"/>
                <w:spacing w:val="0"/>
                <w:w w:val="100"/>
                <w:sz w:val="21"/>
              </w:rPr>
              <w:t>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overflowPunct w:val="0"/>
              <w:snapToGrid w:val="0"/>
              <w:spacing w:line="210" w:lineRule="exact"/>
              <w:ind w:left="-23" w:leftChars="0" w:firstLine="210" w:firstLineChars="100"/>
              <w:jc w:val="left"/>
              <w:textAlignment w:val="baseline"/>
              <w:rPr>
                <w:rFonts w:hint="default"/>
                <w:color w:val="000000"/>
                <w:kern w:val="0"/>
              </w:rPr>
            </w:pPr>
            <w:r>
              <w:rPr>
                <w:rFonts w:hint="eastAsia" w:ascii="Times New Roman" w:hAnsi="Times New Roman" w:eastAsia="ＭＳ 明朝"/>
                <w:b w:val="0"/>
                <w:color w:val="auto"/>
                <w:spacing w:val="0"/>
                <w:w w:val="100"/>
                <w:sz w:val="21"/>
              </w:rPr>
              <w:t>③</w:t>
            </w:r>
            <w:r>
              <w:rPr>
                <w:rFonts w:hint="eastAsia"/>
                <w:color w:val="auto"/>
              </w:rPr>
              <w:t>製作した陸閘の保管方法について</w:t>
            </w: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tc>
      </w:tr>
    </w:tbl>
    <w:p>
      <w:pPr>
        <w:pStyle w:val="0"/>
        <w:wordWrap w:val="0"/>
        <w:jc w:val="right"/>
        <w:rPr>
          <w:rFonts w:hint="default"/>
          <w:u w:val="single" w:color="auto"/>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napToGrid w:val="0"/>
              <w:spacing w:line="240" w:lineRule="exact"/>
              <w:ind w:firstLine="210" w:firstLineChars="100"/>
              <w:rPr>
                <w:rFonts w:hint="eastAsia"/>
                <w:color w:val="auto"/>
              </w:rPr>
            </w:pPr>
            <w:r>
              <w:rPr>
                <w:rFonts w:hint="eastAsia"/>
                <w:color w:val="auto"/>
              </w:rPr>
              <w:t>当工事は，大型の自動閉鎖陸閘の製作とともに，一連する胸壁工を施工するものである。</w:t>
            </w:r>
          </w:p>
          <w:p>
            <w:pPr>
              <w:pStyle w:val="0"/>
              <w:snapToGrid w:val="0"/>
              <w:spacing w:line="240" w:lineRule="exact"/>
              <w:ind w:firstLine="210" w:firstLineChars="100"/>
              <w:rPr>
                <w:rFonts w:hint="eastAsia"/>
                <w:color w:val="auto"/>
              </w:rPr>
            </w:pPr>
            <w:r>
              <w:rPr>
                <w:rFonts w:hint="eastAsia"/>
                <w:color w:val="auto"/>
              </w:rPr>
              <w:t>陸閘は工場製作のため，各種の機械設備・機器の取扱いや，場内での作業員の安全管理には十分な対策が必要であり，かつ労働災害を予防する観点から作業環境への配慮も求められている。</w:t>
            </w:r>
          </w:p>
          <w:p>
            <w:pPr>
              <w:pStyle w:val="0"/>
              <w:snapToGrid w:val="0"/>
              <w:spacing w:line="240" w:lineRule="exact"/>
              <w:ind w:firstLine="210" w:firstLineChars="100"/>
              <w:rPr>
                <w:rFonts w:hint="eastAsia"/>
                <w:color w:val="auto"/>
              </w:rPr>
            </w:pPr>
            <w:r>
              <w:rPr>
                <w:rFonts w:hint="eastAsia"/>
                <w:color w:val="auto"/>
              </w:rPr>
              <w:t>さらに，製作された陸閘は，別途工事で設置する計画であるため，それまでの間，浅川港内で保管することになり，港内への荷下ろしに際しては，地元関係者，港湾利用者等に支障がないよう配慮することも必要である。</w:t>
            </w:r>
          </w:p>
          <w:p>
            <w:pPr>
              <w:pStyle w:val="0"/>
              <w:snapToGrid w:val="0"/>
              <w:spacing w:line="240" w:lineRule="exact"/>
              <w:ind w:firstLine="210" w:firstLineChars="100"/>
              <w:rPr>
                <w:rFonts w:hint="eastAsia"/>
                <w:color w:val="0070C0"/>
              </w:rPr>
            </w:pPr>
            <w:r>
              <w:rPr>
                <w:rFonts w:hint="eastAsia"/>
                <w:color w:val="auto"/>
              </w:rPr>
              <w:t>また，胸壁工の施工に際しては，既設構造物の取壊しや現道掘削を伴うため，隣接する町道や漁業活動に利用されている物揚場の通行に影響を生じることから，利用者の安全確保について，十分な対応がもとめられるとともに，隣接して施工している自動閉鎖陸閘工事（１）との調整も必要である。</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r>
              <w:rPr>
                <w:rFonts w:hint="eastAsia" w:ascii="Times New Roman" w:hAnsi="Times New Roman" w:eastAsia="ＭＳ 明朝"/>
                <w:color w:val="000000"/>
                <w:spacing w:val="0"/>
                <w:w w:val="100"/>
                <w:sz w:val="21"/>
              </w:rPr>
              <w:t>これらのことを踏まえて，次の全ての事項について具体的に記述すること。</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firstLine="84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①製作時における安全確保について　</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②荷下ろし時の安全確保について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napToGrid w:val="0"/>
              <w:spacing w:line="240" w:lineRule="exact"/>
              <w:ind w:firstLine="210" w:firstLineChars="100"/>
              <w:rPr>
                <w:rFonts w:hint="default" w:ascii="Times New Roman" w:hAnsi="Times New Roman" w:eastAsia="Times New Roman"/>
                <w:color w:val="000000"/>
                <w:spacing w:val="2"/>
              </w:rPr>
            </w:pPr>
            <w:r>
              <w:rPr>
                <w:rFonts w:hint="eastAsia" w:ascii="Times New Roman" w:hAnsi="Times New Roman" w:eastAsia="ＭＳ 明朝"/>
                <w:b w:val="0"/>
                <w:color w:val="000000"/>
                <w:spacing w:val="0"/>
                <w:w w:val="100"/>
                <w:sz w:val="21"/>
              </w:rPr>
              <w:t>③胸壁工施工時の安全確保について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0" w:leftChars="0" w:hanging="10" w:firstLineChars="0"/>
              <w:jc w:val="both"/>
              <w:rPr>
                <w:rFonts w:hint="default" w:ascii="Times New Roman" w:hAnsi="Times New Roman" w:eastAsia="Times New Roman"/>
                <w:b w:val="0"/>
                <w:color w:val="000000"/>
                <w:spacing w:val="2"/>
              </w:rPr>
            </w:pPr>
          </w:p>
          <w:p>
            <w:pPr>
              <w:pStyle w:val="0"/>
              <w:snapToGrid w:val="1"/>
              <w:spacing w:line="240" w:lineRule="exact"/>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snapToGrid w:val="0"/>
              <w:spacing w:line="240" w:lineRule="exact"/>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①製作時における安全確保について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bookmarkStart w:id="0" w:name="_GoBack"/>
            <w:bookmarkEnd w:id="0"/>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firstLine="210"/>
              <w:jc w:val="both"/>
              <w:rPr>
                <w:rFonts w:hint="default" w:ascii="Times New Roman" w:hAnsi="Times New Roman" w:eastAsia="Times New Roman"/>
                <w:color w:val="auto"/>
                <w:spacing w:val="2"/>
              </w:rPr>
            </w:pPr>
            <w:r>
              <w:rPr>
                <w:rFonts w:hint="eastAsia" w:ascii="Times New Roman" w:hAnsi="Times New Roman" w:eastAsia="ＭＳ 明朝"/>
                <w:b w:val="0"/>
                <w:color w:val="000000"/>
                <w:spacing w:val="0"/>
                <w:w w:val="100"/>
                <w:sz w:val="21"/>
              </w:rPr>
              <w:t>②荷下ろし時の安全確保について</w:t>
            </w: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leftChars="0" w:firstLine="210" w:firstLineChars="100"/>
              <w:jc w:val="left"/>
              <w:textAlignment w:val="baseline"/>
              <w:rPr>
                <w:rFonts w:hint="default"/>
                <w:color w:val="000000"/>
                <w:kern w:val="0"/>
              </w:rPr>
            </w:pPr>
            <w:r>
              <w:rPr>
                <w:rFonts w:hint="eastAsia" w:ascii="Times New Roman" w:hAnsi="Times New Roman" w:eastAsia="ＭＳ 明朝"/>
                <w:b w:val="0"/>
                <w:color w:val="000000"/>
                <w:spacing w:val="0"/>
                <w:w w:val="100"/>
                <w:sz w:val="21"/>
              </w:rPr>
              <w:t>③胸壁工施工時の安全確保について</w:t>
            </w: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tc>
      </w:tr>
    </w:tbl>
    <w:p>
      <w:pPr>
        <w:pStyle w:val="0"/>
        <w:wordWrap w:val="0"/>
        <w:jc w:val="both"/>
        <w:rPr>
          <w:rFonts w:hint="default"/>
          <w:u w:val="single" w:color="auto"/>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argin-left:4pt;mso-position-horizontal-relative:text;mso-position-vertical-relative:text;position:absolute;height:254.25pt;width:464.25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1"/>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標準(太郎文書スタイル)"/>
    <w:next w:val="21"/>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6</Pages>
  <Words>8</Words>
  <Characters>2111</Characters>
  <Application>JUST Note</Application>
  <Lines>328</Lines>
  <Paragraphs>75</Paragraphs>
  <Company>徳島県</Company>
  <CharactersWithSpaces>2367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Tamura Akinori</cp:lastModifiedBy>
  <cp:lastPrinted>2017-05-16T12:57:00Z</cp:lastPrinted>
  <dcterms:created xsi:type="dcterms:W3CDTF">2017-05-22T00:06:00Z</dcterms:created>
  <dcterms:modified xsi:type="dcterms:W3CDTF">2020-05-25T02:29:58Z</dcterms:modified>
  <cp:revision>11</cp:revision>
</cp:coreProperties>
</file>